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17ED" w14:textId="77777777" w:rsidR="00310CF5" w:rsidRDefault="00310CF5"/>
    <w:p w14:paraId="5E678E27" w14:textId="77777777" w:rsidR="00310CF5" w:rsidRDefault="00310CF5"/>
    <w:p w14:paraId="45C54AB4" w14:textId="77777777" w:rsidR="00310CF5" w:rsidRDefault="00000000">
      <w:pPr>
        <w:spacing w:after="160" w:line="256" w:lineRule="auto"/>
        <w:ind w:left="0" w:right="0"/>
        <w:rPr>
          <w:rFonts w:ascii="Arial" w:eastAsia="Arial" w:hAnsi="Arial" w:cs="Arial"/>
          <w:sz w:val="96"/>
          <w:szCs w:val="96"/>
        </w:rPr>
      </w:pPr>
      <w:r>
        <w:rPr>
          <w:rFonts w:ascii="Arial" w:eastAsia="Arial" w:hAnsi="Arial" w:cs="Arial"/>
          <w:sz w:val="96"/>
          <w:szCs w:val="96"/>
        </w:rPr>
        <w:t xml:space="preserve"> </w:t>
      </w:r>
      <w:r>
        <w:rPr>
          <w:noProof/>
        </w:rPr>
        <w:drawing>
          <wp:anchor distT="0" distB="0" distL="114300" distR="114300" simplePos="0" relativeHeight="251658240" behindDoc="0" locked="0" layoutInCell="1" hidden="0" allowOverlap="1" wp14:anchorId="313970F1" wp14:editId="03AE9FD3">
            <wp:simplePos x="0" y="0"/>
            <wp:positionH relativeFrom="column">
              <wp:posOffset>4963795</wp:posOffset>
            </wp:positionH>
            <wp:positionV relativeFrom="paragraph">
              <wp:posOffset>9676130</wp:posOffset>
            </wp:positionV>
            <wp:extent cx="1690370" cy="1286510"/>
            <wp:effectExtent l="0" t="0" r="0" b="0"/>
            <wp:wrapNone/>
            <wp:docPr id="1345765788" name="image1.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pic:cNvPicPr preferRelativeResize="0"/>
                  </pic:nvPicPr>
                  <pic:blipFill>
                    <a:blip r:embed="rId7"/>
                    <a:srcRect/>
                    <a:stretch>
                      <a:fillRect/>
                    </a:stretch>
                  </pic:blipFill>
                  <pic:spPr>
                    <a:xfrm>
                      <a:off x="0" y="0"/>
                      <a:ext cx="1690370" cy="1286510"/>
                    </a:xfrm>
                    <a:prstGeom prst="rect">
                      <a:avLst/>
                    </a:prstGeom>
                    <a:ln/>
                  </pic:spPr>
                </pic:pic>
              </a:graphicData>
            </a:graphic>
          </wp:anchor>
        </w:drawing>
      </w:r>
    </w:p>
    <w:p w14:paraId="3CCFC1BE" w14:textId="48DDB18F" w:rsidR="00310CF5" w:rsidRDefault="005F0245">
      <w:pPr>
        <w:spacing w:after="160" w:line="256" w:lineRule="auto"/>
        <w:ind w:left="0" w:right="0"/>
        <w:jc w:val="center"/>
        <w:rPr>
          <w:rFonts w:ascii="Arial" w:eastAsia="Arial" w:hAnsi="Arial" w:cs="Arial"/>
          <w:sz w:val="96"/>
          <w:szCs w:val="96"/>
        </w:rPr>
      </w:pPr>
      <w:r w:rsidRPr="005F0245">
        <w:rPr>
          <w:rFonts w:ascii="Arial" w:eastAsia="Arial" w:hAnsi="Arial" w:cs="Arial"/>
          <w:sz w:val="96"/>
          <w:szCs w:val="96"/>
        </w:rPr>
        <w:drawing>
          <wp:inline distT="0" distB="0" distL="0" distR="0" wp14:anchorId="7BF196CF" wp14:editId="46292A87">
            <wp:extent cx="3927944" cy="3714290"/>
            <wp:effectExtent l="0" t="0" r="0" b="0"/>
            <wp:docPr id="1504596138" name="Picture 1" descr="A magnifying glass over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96138" name="Picture 1" descr="A magnifying glass over a graph&#10;&#10;Description automatically generated"/>
                    <pic:cNvPicPr/>
                  </pic:nvPicPr>
                  <pic:blipFill>
                    <a:blip r:embed="rId8"/>
                    <a:stretch>
                      <a:fillRect/>
                    </a:stretch>
                  </pic:blipFill>
                  <pic:spPr>
                    <a:xfrm>
                      <a:off x="0" y="0"/>
                      <a:ext cx="3955190" cy="3740054"/>
                    </a:xfrm>
                    <a:prstGeom prst="rect">
                      <a:avLst/>
                    </a:prstGeom>
                  </pic:spPr>
                </pic:pic>
              </a:graphicData>
            </a:graphic>
          </wp:inline>
        </w:drawing>
      </w:r>
      <w:r w:rsidR="00000000">
        <w:rPr>
          <w:rFonts w:ascii="Arial" w:eastAsia="Arial" w:hAnsi="Arial" w:cs="Arial"/>
          <w:sz w:val="96"/>
          <w:szCs w:val="96"/>
        </w:rPr>
        <w:t xml:space="preserve"> </w:t>
      </w:r>
    </w:p>
    <w:p w14:paraId="09487483" w14:textId="77777777" w:rsidR="00310CF5" w:rsidRDefault="00000000">
      <w:pPr>
        <w:spacing w:after="160" w:line="256" w:lineRule="auto"/>
        <w:ind w:left="0" w:right="0"/>
        <w:jc w:val="center"/>
        <w:rPr>
          <w:rFonts w:ascii="Arial" w:eastAsia="Arial" w:hAnsi="Arial" w:cs="Arial"/>
          <w:color w:val="FF0000"/>
          <w:sz w:val="96"/>
          <w:szCs w:val="96"/>
        </w:rPr>
      </w:pPr>
      <w:r>
        <w:rPr>
          <w:rFonts w:ascii="Arial" w:eastAsia="Arial" w:hAnsi="Arial" w:cs="Arial"/>
          <w:sz w:val="96"/>
          <w:szCs w:val="96"/>
        </w:rPr>
        <w:t>Infolink</w:t>
      </w:r>
      <w:r>
        <w:rPr>
          <w:rFonts w:ascii="Arial" w:eastAsia="Arial" w:hAnsi="Arial" w:cs="Arial"/>
          <w:color w:val="FF0000"/>
          <w:sz w:val="96"/>
          <w:szCs w:val="96"/>
        </w:rPr>
        <w:t>Gazette</w:t>
      </w:r>
    </w:p>
    <w:p w14:paraId="3BAA7AF0" w14:textId="77777777" w:rsidR="00310CF5" w:rsidRDefault="00000000">
      <w:pPr>
        <w:spacing w:after="160" w:line="256" w:lineRule="auto"/>
        <w:ind w:left="0" w:right="0"/>
        <w:jc w:val="center"/>
        <w:rPr>
          <w:rFonts w:ascii="Arial" w:eastAsia="Arial" w:hAnsi="Arial" w:cs="Arial"/>
          <w:sz w:val="44"/>
          <w:szCs w:val="44"/>
        </w:rPr>
      </w:pPr>
      <w:r>
        <w:rPr>
          <w:rFonts w:ascii="Arial" w:eastAsia="Arial" w:hAnsi="Arial" w:cs="Arial"/>
          <w:sz w:val="44"/>
          <w:szCs w:val="44"/>
        </w:rPr>
        <w:t xml:space="preserve"> </w:t>
      </w:r>
    </w:p>
    <w:p w14:paraId="163B2F9E" w14:textId="77777777" w:rsidR="00310CF5" w:rsidRDefault="00000000">
      <w:pPr>
        <w:spacing w:after="160" w:line="256" w:lineRule="auto"/>
        <w:ind w:left="0" w:right="0"/>
        <w:jc w:val="center"/>
        <w:rPr>
          <w:rFonts w:ascii="Arial" w:eastAsia="Arial" w:hAnsi="Arial" w:cs="Arial"/>
          <w:sz w:val="44"/>
          <w:szCs w:val="44"/>
        </w:rPr>
      </w:pPr>
      <w:r>
        <w:rPr>
          <w:rFonts w:ascii="Arial" w:eastAsia="Arial" w:hAnsi="Arial" w:cs="Arial"/>
          <w:sz w:val="44"/>
          <w:szCs w:val="44"/>
        </w:rPr>
        <w:t>Annual Report - 2023</w:t>
      </w:r>
    </w:p>
    <w:p w14:paraId="779E7F7C" w14:textId="77777777" w:rsidR="00310CF5" w:rsidRDefault="00000000">
      <w:pPr>
        <w:spacing w:after="160" w:line="256" w:lineRule="auto"/>
        <w:ind w:left="0" w:right="0"/>
        <w:jc w:val="center"/>
        <w:rPr>
          <w:rFonts w:ascii="Arial" w:eastAsia="Arial" w:hAnsi="Arial" w:cs="Arial"/>
          <w:sz w:val="22"/>
        </w:rPr>
      </w:pPr>
      <w:r>
        <w:rPr>
          <w:rFonts w:ascii="Arial" w:eastAsia="Arial" w:hAnsi="Arial" w:cs="Arial"/>
          <w:sz w:val="22"/>
        </w:rPr>
        <w:t>Profit Warnings, HM Courts Filings, and Initial Stage Winding Up Petitions.</w:t>
      </w:r>
    </w:p>
    <w:p w14:paraId="168DB601" w14:textId="77777777" w:rsidR="00310CF5" w:rsidRDefault="00000000">
      <w:pPr>
        <w:spacing w:after="160" w:line="256" w:lineRule="auto"/>
        <w:ind w:left="0" w:right="0"/>
        <w:jc w:val="center"/>
        <w:rPr>
          <w:rFonts w:ascii="Arial" w:eastAsia="Arial" w:hAnsi="Arial" w:cs="Arial"/>
          <w:sz w:val="22"/>
        </w:rPr>
      </w:pPr>
      <w:r>
        <w:rPr>
          <w:rFonts w:ascii="Arial" w:eastAsia="Arial" w:hAnsi="Arial" w:cs="Arial"/>
          <w:sz w:val="22"/>
        </w:rPr>
        <w:t>New analysis from Infolink</w:t>
      </w:r>
      <w:r>
        <w:rPr>
          <w:rFonts w:ascii="Arial" w:eastAsia="Arial" w:hAnsi="Arial" w:cs="Arial"/>
          <w:color w:val="FF0000"/>
          <w:sz w:val="22"/>
        </w:rPr>
        <w:t>Gazette</w:t>
      </w:r>
      <w:r>
        <w:rPr>
          <w:rFonts w:ascii="Arial" w:eastAsia="Arial" w:hAnsi="Arial" w:cs="Arial"/>
          <w:sz w:val="22"/>
        </w:rPr>
        <w:t xml:space="preserve"> confirms the number of Insolvency notices and Company profit warnings remains high.</w:t>
      </w:r>
      <w:r>
        <w:rPr>
          <w:rFonts w:ascii="Arial" w:eastAsia="Arial" w:hAnsi="Arial" w:cs="Arial"/>
          <w:sz w:val="22"/>
        </w:rPr>
        <w:br/>
      </w:r>
    </w:p>
    <w:p w14:paraId="558C04E0" w14:textId="77777777" w:rsidR="00310CF5" w:rsidRDefault="00000000">
      <w:pPr>
        <w:spacing w:after="160" w:line="256" w:lineRule="auto"/>
        <w:ind w:left="0" w:right="0"/>
        <w:jc w:val="center"/>
        <w:rPr>
          <w:rFonts w:ascii="Arial" w:eastAsia="Arial" w:hAnsi="Arial" w:cs="Arial"/>
          <w:sz w:val="22"/>
        </w:rPr>
      </w:pPr>
      <w:r>
        <w:rPr>
          <w:rFonts w:ascii="Arial" w:eastAsia="Arial" w:hAnsi="Arial" w:cs="Arial"/>
          <w:sz w:val="22"/>
        </w:rPr>
        <w:t xml:space="preserve"> </w:t>
      </w:r>
    </w:p>
    <w:p w14:paraId="2E60FBC2" w14:textId="77777777" w:rsidR="005F0245" w:rsidRDefault="005F0245">
      <w:pPr>
        <w:rPr>
          <w:rFonts w:ascii="Arial" w:eastAsia="Arial" w:hAnsi="Arial" w:cs="Arial"/>
          <w:b/>
          <w:sz w:val="22"/>
          <w:u w:val="single"/>
        </w:rPr>
      </w:pPr>
      <w:r>
        <w:rPr>
          <w:rFonts w:ascii="Arial" w:eastAsia="Arial" w:hAnsi="Arial" w:cs="Arial"/>
          <w:b/>
          <w:sz w:val="22"/>
          <w:u w:val="single"/>
        </w:rPr>
        <w:br w:type="page"/>
      </w:r>
    </w:p>
    <w:p w14:paraId="31C95364" w14:textId="77777777" w:rsidR="005F0245" w:rsidRDefault="005F0245">
      <w:pPr>
        <w:spacing w:after="160" w:line="256" w:lineRule="auto"/>
        <w:ind w:left="0" w:right="0"/>
        <w:rPr>
          <w:rFonts w:ascii="Arial" w:eastAsia="Arial" w:hAnsi="Arial" w:cs="Arial"/>
          <w:b/>
          <w:sz w:val="22"/>
          <w:u w:val="single"/>
        </w:rPr>
      </w:pPr>
    </w:p>
    <w:p w14:paraId="3CBA6761" w14:textId="77777777" w:rsidR="005F0245" w:rsidRDefault="005F0245">
      <w:pPr>
        <w:spacing w:after="160" w:line="256" w:lineRule="auto"/>
        <w:ind w:left="0" w:right="0"/>
        <w:rPr>
          <w:rFonts w:ascii="Arial" w:eastAsia="Arial" w:hAnsi="Arial" w:cs="Arial"/>
          <w:b/>
          <w:sz w:val="22"/>
          <w:u w:val="single"/>
        </w:rPr>
      </w:pPr>
    </w:p>
    <w:p w14:paraId="77A3EE46" w14:textId="56132D1F" w:rsidR="00310CF5" w:rsidRDefault="00000000">
      <w:pPr>
        <w:spacing w:after="160" w:line="256" w:lineRule="auto"/>
        <w:ind w:left="0" w:right="0"/>
        <w:rPr>
          <w:rFonts w:ascii="Arial" w:eastAsia="Arial" w:hAnsi="Arial" w:cs="Arial"/>
          <w:b/>
          <w:sz w:val="22"/>
          <w:u w:val="single"/>
        </w:rPr>
      </w:pPr>
      <w:r>
        <w:rPr>
          <w:rFonts w:ascii="Arial" w:eastAsia="Arial" w:hAnsi="Arial" w:cs="Arial"/>
          <w:b/>
          <w:sz w:val="22"/>
          <w:u w:val="single"/>
        </w:rPr>
        <w:t>Profit Warnings:</w:t>
      </w:r>
    </w:p>
    <w:p w14:paraId="66F8D8A8" w14:textId="77777777" w:rsidR="00310CF5" w:rsidRDefault="00000000">
      <w:pPr>
        <w:spacing w:after="160" w:line="256" w:lineRule="auto"/>
        <w:ind w:left="0" w:right="0"/>
        <w:rPr>
          <w:rFonts w:ascii="Arial" w:eastAsia="Arial" w:hAnsi="Arial" w:cs="Arial"/>
          <w:sz w:val="22"/>
          <w:highlight w:val="white"/>
        </w:rPr>
      </w:pPr>
      <w:r>
        <w:rPr>
          <w:rFonts w:ascii="Arial" w:eastAsia="Arial" w:hAnsi="Arial" w:cs="Arial"/>
          <w:sz w:val="22"/>
          <w:highlight w:val="white"/>
        </w:rPr>
        <w:t xml:space="preserve"> </w:t>
      </w:r>
    </w:p>
    <w:p w14:paraId="739C8E27"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highlight w:val="white"/>
        </w:rPr>
        <w:t>Figures released by Infolink</w:t>
      </w:r>
      <w:r>
        <w:rPr>
          <w:rFonts w:ascii="Arial" w:eastAsia="Arial" w:hAnsi="Arial" w:cs="Arial"/>
          <w:color w:val="FF0000"/>
          <w:sz w:val="22"/>
          <w:highlight w:val="white"/>
        </w:rPr>
        <w:t>Gazette</w:t>
      </w:r>
      <w:r>
        <w:rPr>
          <w:rFonts w:ascii="Arial" w:eastAsia="Arial" w:hAnsi="Arial" w:cs="Arial"/>
          <w:sz w:val="22"/>
        </w:rPr>
        <w:t xml:space="preserve"> confirm our prediction that company profit warnings would continue to rise in 2023.</w:t>
      </w:r>
    </w:p>
    <w:p w14:paraId="5806684D" w14:textId="7C3F951C" w:rsidR="00310CF5" w:rsidRDefault="00000000">
      <w:pPr>
        <w:spacing w:after="160" w:line="256" w:lineRule="auto"/>
        <w:ind w:left="0" w:right="0"/>
        <w:rPr>
          <w:rFonts w:ascii="Arial" w:eastAsia="Arial" w:hAnsi="Arial" w:cs="Arial"/>
          <w:sz w:val="22"/>
        </w:rPr>
      </w:pPr>
      <w:r>
        <w:rPr>
          <w:rFonts w:ascii="Arial" w:eastAsia="Arial" w:hAnsi="Arial" w:cs="Arial"/>
          <w:sz w:val="22"/>
        </w:rPr>
        <w:t>In 2022, Profit warnings had already quadrupled, up from 65 in 2021 to 386 in 2022</w:t>
      </w:r>
      <w:r w:rsidR="005F0245">
        <w:rPr>
          <w:rFonts w:ascii="Arial" w:eastAsia="Arial" w:hAnsi="Arial" w:cs="Arial"/>
          <w:sz w:val="22"/>
        </w:rPr>
        <w:t>;</w:t>
      </w:r>
      <w:r>
        <w:rPr>
          <w:rFonts w:ascii="Arial" w:eastAsia="Arial" w:hAnsi="Arial" w:cs="Arial"/>
          <w:sz w:val="22"/>
        </w:rPr>
        <w:t xml:space="preserve"> an increase of over 490%.</w:t>
      </w:r>
    </w:p>
    <w:p w14:paraId="08DC2EAA" w14:textId="75246D69" w:rsidR="00310CF5" w:rsidRDefault="00000000">
      <w:pPr>
        <w:spacing w:after="160" w:line="256" w:lineRule="auto"/>
        <w:ind w:left="0" w:right="0"/>
        <w:rPr>
          <w:rFonts w:ascii="Arial" w:eastAsia="Arial" w:hAnsi="Arial" w:cs="Arial"/>
          <w:sz w:val="22"/>
        </w:rPr>
      </w:pPr>
      <w:r>
        <w:rPr>
          <w:rFonts w:ascii="Arial" w:eastAsia="Arial" w:hAnsi="Arial" w:cs="Arial"/>
          <w:sz w:val="22"/>
        </w:rPr>
        <w:t>As predicted, that number went up by 23.5% o</w:t>
      </w:r>
      <w:r w:rsidR="005F0245">
        <w:rPr>
          <w:rFonts w:ascii="Arial" w:eastAsia="Arial" w:hAnsi="Arial" w:cs="Arial"/>
          <w:sz w:val="22"/>
        </w:rPr>
        <w:t>ver</w:t>
      </w:r>
      <w:r>
        <w:rPr>
          <w:rFonts w:ascii="Arial" w:eastAsia="Arial" w:hAnsi="Arial" w:cs="Arial"/>
          <w:sz w:val="22"/>
        </w:rPr>
        <w:t xml:space="preserve"> the previous year to a new high of 477 profit warnings in 2023.</w:t>
      </w:r>
    </w:p>
    <w:p w14:paraId="01F6D753" w14:textId="11865C51" w:rsidR="00310CF5" w:rsidRDefault="00000000">
      <w:pPr>
        <w:spacing w:after="160" w:line="256" w:lineRule="auto"/>
        <w:ind w:left="0" w:right="0"/>
        <w:rPr>
          <w:rFonts w:ascii="Arial" w:eastAsia="Arial" w:hAnsi="Arial" w:cs="Arial"/>
          <w:sz w:val="22"/>
          <w:highlight w:val="white"/>
        </w:rPr>
      </w:pPr>
      <w:r>
        <w:rPr>
          <w:rFonts w:ascii="Arial" w:eastAsia="Arial" w:hAnsi="Arial" w:cs="Arial"/>
          <w:sz w:val="22"/>
          <w:highlight w:val="white"/>
        </w:rPr>
        <w:t xml:space="preserve">Our data confirms there were at least 150 instances of UK companies warning of a Material Uncertainty. 115 of these are stand-alone going concern events which accounted for nearly a third of all profit warnings in 2023.   </w:t>
      </w:r>
    </w:p>
    <w:p w14:paraId="75AF3B07" w14:textId="01107C4E" w:rsidR="00310CF5" w:rsidRDefault="00000000">
      <w:pPr>
        <w:spacing w:after="160" w:line="256" w:lineRule="auto"/>
        <w:ind w:left="0" w:right="0"/>
        <w:rPr>
          <w:rFonts w:ascii="Arial" w:eastAsia="Arial" w:hAnsi="Arial" w:cs="Arial"/>
          <w:sz w:val="22"/>
          <w:highlight w:val="white"/>
        </w:rPr>
      </w:pPr>
      <w:r>
        <w:rPr>
          <w:rFonts w:ascii="Arial" w:eastAsia="Arial" w:hAnsi="Arial" w:cs="Arial"/>
          <w:sz w:val="22"/>
          <w:highlight w:val="white"/>
        </w:rPr>
        <w:t>127 warnings were instances where a company had revised their guidance, significantly</w:t>
      </w:r>
      <w:r w:rsidR="005F0245">
        <w:rPr>
          <w:rFonts w:ascii="Arial" w:eastAsia="Arial" w:hAnsi="Arial" w:cs="Arial"/>
          <w:sz w:val="22"/>
          <w:highlight w:val="white"/>
        </w:rPr>
        <w:t>.</w:t>
      </w:r>
      <w:r>
        <w:rPr>
          <w:rFonts w:ascii="Arial" w:eastAsia="Arial" w:hAnsi="Arial" w:cs="Arial"/>
          <w:sz w:val="22"/>
          <w:highlight w:val="white"/>
        </w:rPr>
        <w:t xml:space="preserve"> 30% of profit warnings cited impacted sales and 10% of profit warnings noted </w:t>
      </w:r>
      <w:r w:rsidR="005F0245">
        <w:rPr>
          <w:rFonts w:ascii="Arial" w:eastAsia="Arial" w:hAnsi="Arial" w:cs="Arial"/>
          <w:sz w:val="22"/>
          <w:highlight w:val="white"/>
        </w:rPr>
        <w:t>i</w:t>
      </w:r>
      <w:r>
        <w:rPr>
          <w:rFonts w:ascii="Arial" w:eastAsia="Arial" w:hAnsi="Arial" w:cs="Arial"/>
          <w:sz w:val="22"/>
          <w:highlight w:val="white"/>
        </w:rPr>
        <w:t xml:space="preserve">nflation and increased costs as the reason for the downturn in expectations. References to </w:t>
      </w:r>
      <w:r w:rsidR="005F0245">
        <w:rPr>
          <w:rFonts w:ascii="Arial" w:eastAsia="Arial" w:hAnsi="Arial" w:cs="Arial"/>
          <w:sz w:val="22"/>
          <w:highlight w:val="white"/>
        </w:rPr>
        <w:t>e</w:t>
      </w:r>
      <w:r>
        <w:rPr>
          <w:rFonts w:ascii="Arial" w:eastAsia="Arial" w:hAnsi="Arial" w:cs="Arial"/>
          <w:sz w:val="22"/>
          <w:highlight w:val="white"/>
        </w:rPr>
        <w:t>nergy prices in the warnings tripled when compared to the previous year.</w:t>
      </w:r>
    </w:p>
    <w:p w14:paraId="5E787E5E" w14:textId="6F204913" w:rsidR="00310CF5" w:rsidRDefault="005F0245">
      <w:pPr>
        <w:spacing w:after="160" w:line="256" w:lineRule="auto"/>
        <w:ind w:left="0" w:right="0"/>
        <w:rPr>
          <w:rFonts w:ascii="Arial" w:eastAsia="Arial" w:hAnsi="Arial" w:cs="Arial"/>
          <w:sz w:val="22"/>
          <w:highlight w:val="white"/>
        </w:rPr>
      </w:pPr>
      <w:r>
        <w:rPr>
          <w:rFonts w:ascii="Arial" w:eastAsia="Arial" w:hAnsi="Arial" w:cs="Arial"/>
          <w:sz w:val="22"/>
          <w:highlight w:val="white"/>
        </w:rPr>
        <w:t>Ben Sims, Managing Director at Tech City Labs, the company behind</w:t>
      </w:r>
      <w:r w:rsidR="00000000">
        <w:rPr>
          <w:rFonts w:ascii="Arial" w:eastAsia="Arial" w:hAnsi="Arial" w:cs="Arial"/>
          <w:sz w:val="22"/>
          <w:highlight w:val="white"/>
        </w:rPr>
        <w:t xml:space="preserve"> Infolink</w:t>
      </w:r>
      <w:r w:rsidR="00000000">
        <w:rPr>
          <w:rFonts w:ascii="Arial" w:eastAsia="Arial" w:hAnsi="Arial" w:cs="Arial"/>
          <w:color w:val="FF0000"/>
          <w:sz w:val="22"/>
          <w:highlight w:val="white"/>
        </w:rPr>
        <w:t>Gazette</w:t>
      </w:r>
      <w:r w:rsidR="00000000">
        <w:rPr>
          <w:rFonts w:ascii="Arial" w:eastAsia="Arial" w:hAnsi="Arial" w:cs="Arial"/>
          <w:sz w:val="22"/>
          <w:highlight w:val="white"/>
        </w:rPr>
        <w:t xml:space="preserve"> commented:</w:t>
      </w:r>
    </w:p>
    <w:p w14:paraId="4F94D276" w14:textId="6B278403" w:rsidR="00310CF5" w:rsidRDefault="00000000">
      <w:pPr>
        <w:spacing w:after="160" w:line="256" w:lineRule="auto"/>
        <w:ind w:left="0" w:right="0"/>
        <w:rPr>
          <w:rFonts w:ascii="Arial" w:eastAsia="Arial" w:hAnsi="Arial" w:cs="Arial"/>
          <w:sz w:val="22"/>
          <w:highlight w:val="white"/>
        </w:rPr>
      </w:pPr>
      <w:r>
        <w:rPr>
          <w:rFonts w:ascii="Arial" w:eastAsia="Arial" w:hAnsi="Arial" w:cs="Arial"/>
          <w:sz w:val="22"/>
          <w:highlight w:val="white"/>
        </w:rPr>
        <w:t>"We knew 2022 was going to be a difficult year and all the data we have confirms that 2023 has seen things get worse for many businesses. Whilst profit warnings in Q4 2023 (76) were lower than the previous year indicating that things may be starting to level off</w:t>
      </w:r>
      <w:r w:rsidR="005F0245">
        <w:rPr>
          <w:rFonts w:ascii="Arial" w:eastAsia="Arial" w:hAnsi="Arial" w:cs="Arial"/>
          <w:sz w:val="22"/>
          <w:highlight w:val="white"/>
        </w:rPr>
        <w:t xml:space="preserve"> </w:t>
      </w:r>
      <w:r w:rsidR="005F0245">
        <w:rPr>
          <w:rFonts w:ascii="Arial" w:eastAsia="Arial" w:hAnsi="Arial" w:cs="Arial"/>
          <w:sz w:val="22"/>
          <w:highlight w:val="white"/>
        </w:rPr>
        <w:t>(Q4 2022: 96)</w:t>
      </w:r>
      <w:r>
        <w:rPr>
          <w:rFonts w:ascii="Arial" w:eastAsia="Arial" w:hAnsi="Arial" w:cs="Arial"/>
          <w:sz w:val="22"/>
          <w:highlight w:val="white"/>
        </w:rPr>
        <w:t>, the overall picture suggests that we are still in the middle of a storm”</w:t>
      </w:r>
    </w:p>
    <w:p w14:paraId="1B5ACB71" w14:textId="77777777" w:rsidR="00310CF5" w:rsidRDefault="00000000">
      <w:pPr>
        <w:spacing w:after="160" w:line="256" w:lineRule="auto"/>
        <w:ind w:left="0" w:right="0"/>
        <w:rPr>
          <w:rFonts w:ascii="Arial" w:eastAsia="Arial" w:hAnsi="Arial" w:cs="Arial"/>
          <w:sz w:val="22"/>
          <w:highlight w:val="white"/>
        </w:rPr>
      </w:pPr>
      <w:r>
        <w:rPr>
          <w:rFonts w:ascii="Arial" w:eastAsia="Arial" w:hAnsi="Arial" w:cs="Arial"/>
          <w:sz w:val="22"/>
          <w:highlight w:val="white"/>
        </w:rPr>
        <w:t xml:space="preserve"> </w:t>
      </w:r>
    </w:p>
    <w:p w14:paraId="053B67F9" w14:textId="77777777" w:rsidR="00310CF5" w:rsidRDefault="00000000">
      <w:pPr>
        <w:spacing w:after="160" w:line="256" w:lineRule="auto"/>
        <w:ind w:left="0" w:right="0"/>
        <w:rPr>
          <w:rFonts w:ascii="Arial" w:eastAsia="Arial" w:hAnsi="Arial" w:cs="Arial"/>
          <w:b/>
          <w:sz w:val="22"/>
          <w:u w:val="single"/>
        </w:rPr>
      </w:pPr>
      <w:r>
        <w:rPr>
          <w:rFonts w:ascii="Arial" w:eastAsia="Arial" w:hAnsi="Arial" w:cs="Arial"/>
          <w:b/>
          <w:sz w:val="22"/>
          <w:u w:val="single"/>
        </w:rPr>
        <w:t>HMCourts Filings:</w:t>
      </w:r>
    </w:p>
    <w:p w14:paraId="53107E98"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Debtor driven filings increased by 37% year on year from 1823 in 2022 to 2494 filings in 2023. Although the number of filings was slightly lower in Q4 2023 than in Q3, the data confirms that there was a 12% increase In Q4 2023 compared to Q4 2022.</w:t>
      </w:r>
    </w:p>
    <w:p w14:paraId="3AD55D78"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As expected, for 2023 we saw Notices of Intention to Appoint an Administrator (1136) and Notice of Appointment to appoint an administrator (955) continue to make up the majority of notices filed.</w:t>
      </w:r>
    </w:p>
    <w:p w14:paraId="266F8CAD"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Administration Applications went up by 46% from 155 in 2022 to 226 in 2023 and Company Voluntary Arrangements were up by 53% from 109 in 2022 to 167 in 2023.</w:t>
      </w:r>
    </w:p>
    <w:p w14:paraId="207498A6" w14:textId="2CDC0C42" w:rsidR="00310CF5" w:rsidRDefault="00000000">
      <w:pPr>
        <w:spacing w:after="160" w:line="256" w:lineRule="auto"/>
        <w:ind w:left="0" w:right="0"/>
        <w:rPr>
          <w:rFonts w:ascii="Arial" w:eastAsia="Arial" w:hAnsi="Arial" w:cs="Arial"/>
          <w:sz w:val="22"/>
        </w:rPr>
      </w:pPr>
      <w:r>
        <w:rPr>
          <w:rFonts w:ascii="Arial" w:eastAsia="Arial" w:hAnsi="Arial" w:cs="Arial"/>
          <w:sz w:val="22"/>
        </w:rPr>
        <w:t xml:space="preserve">The second half of 2022 saw the first occurrence of a Moratorium being filed since the start of 2021 (3 in total). </w:t>
      </w:r>
      <w:r w:rsidR="005F0245">
        <w:rPr>
          <w:rFonts w:ascii="Arial" w:eastAsia="Arial" w:hAnsi="Arial" w:cs="Arial"/>
          <w:sz w:val="22"/>
        </w:rPr>
        <w:t>A</w:t>
      </w:r>
      <w:r>
        <w:rPr>
          <w:rFonts w:ascii="Arial" w:eastAsia="Arial" w:hAnsi="Arial" w:cs="Arial"/>
          <w:sz w:val="22"/>
        </w:rPr>
        <w:t>s expected</w:t>
      </w:r>
      <w:r w:rsidR="005F0245">
        <w:rPr>
          <w:rFonts w:ascii="Arial" w:eastAsia="Arial" w:hAnsi="Arial" w:cs="Arial"/>
          <w:sz w:val="22"/>
        </w:rPr>
        <w:t>, this has</w:t>
      </w:r>
      <w:r>
        <w:rPr>
          <w:rFonts w:ascii="Arial" w:eastAsia="Arial" w:hAnsi="Arial" w:cs="Arial"/>
          <w:sz w:val="22"/>
        </w:rPr>
        <w:t xml:space="preserve"> increased to 10 Moratoriums </w:t>
      </w:r>
      <w:r w:rsidR="005F0245">
        <w:rPr>
          <w:rFonts w:ascii="Arial" w:eastAsia="Arial" w:hAnsi="Arial" w:cs="Arial"/>
          <w:sz w:val="22"/>
        </w:rPr>
        <w:t>during</w:t>
      </w:r>
      <w:r>
        <w:rPr>
          <w:rFonts w:ascii="Arial" w:eastAsia="Arial" w:hAnsi="Arial" w:cs="Arial"/>
          <w:sz w:val="22"/>
        </w:rPr>
        <w:t xml:space="preserve"> 2023</w:t>
      </w:r>
      <w:r w:rsidR="005F0245">
        <w:rPr>
          <w:rFonts w:ascii="Arial" w:eastAsia="Arial" w:hAnsi="Arial" w:cs="Arial"/>
          <w:sz w:val="22"/>
        </w:rPr>
        <w:t>.</w:t>
      </w:r>
    </w:p>
    <w:p w14:paraId="3410DCF1"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 xml:space="preserve"> </w:t>
      </w:r>
    </w:p>
    <w:p w14:paraId="05F8CBB7" w14:textId="77777777" w:rsidR="00310CF5" w:rsidRDefault="00310CF5">
      <w:pPr>
        <w:spacing w:line="256" w:lineRule="auto"/>
        <w:ind w:firstLine="142"/>
        <w:rPr>
          <w:rFonts w:ascii="Arial" w:eastAsia="Arial" w:hAnsi="Arial" w:cs="Arial"/>
          <w:b/>
          <w:sz w:val="22"/>
          <w:u w:val="single"/>
        </w:rPr>
      </w:pPr>
    </w:p>
    <w:p w14:paraId="34ABEDDE" w14:textId="77777777" w:rsidR="00310CF5" w:rsidRDefault="00000000">
      <w:pPr>
        <w:spacing w:after="160" w:line="256" w:lineRule="auto"/>
        <w:ind w:left="0" w:right="0"/>
        <w:rPr>
          <w:rFonts w:ascii="Arial" w:eastAsia="Arial" w:hAnsi="Arial" w:cs="Arial"/>
          <w:b/>
          <w:sz w:val="22"/>
          <w:u w:val="single"/>
        </w:rPr>
      </w:pPr>
      <w:r>
        <w:rPr>
          <w:rFonts w:ascii="Arial" w:eastAsia="Arial" w:hAnsi="Arial" w:cs="Arial"/>
          <w:b/>
          <w:sz w:val="22"/>
          <w:u w:val="single"/>
        </w:rPr>
        <w:lastRenderedPageBreak/>
        <w:t xml:space="preserve"> </w:t>
      </w:r>
    </w:p>
    <w:p w14:paraId="2990AD26" w14:textId="77777777" w:rsidR="005F0245" w:rsidRDefault="005F0245">
      <w:pPr>
        <w:spacing w:after="160" w:line="256" w:lineRule="auto"/>
        <w:ind w:left="0" w:right="0"/>
        <w:rPr>
          <w:rFonts w:ascii="Arial" w:eastAsia="Arial" w:hAnsi="Arial" w:cs="Arial"/>
          <w:b/>
          <w:sz w:val="22"/>
          <w:u w:val="single"/>
        </w:rPr>
      </w:pPr>
    </w:p>
    <w:p w14:paraId="31E9D842" w14:textId="77777777" w:rsidR="005F0245" w:rsidRDefault="005F0245">
      <w:pPr>
        <w:spacing w:after="160" w:line="256" w:lineRule="auto"/>
        <w:ind w:left="0" w:right="0"/>
        <w:rPr>
          <w:rFonts w:ascii="Arial" w:eastAsia="Arial" w:hAnsi="Arial" w:cs="Arial"/>
          <w:b/>
          <w:sz w:val="22"/>
          <w:u w:val="single"/>
        </w:rPr>
      </w:pPr>
    </w:p>
    <w:p w14:paraId="42D134F1" w14:textId="2E4F43D4" w:rsidR="00310CF5" w:rsidRDefault="00000000">
      <w:pPr>
        <w:spacing w:after="160" w:line="256" w:lineRule="auto"/>
        <w:ind w:left="0" w:right="0"/>
        <w:rPr>
          <w:rFonts w:ascii="Arial" w:eastAsia="Arial" w:hAnsi="Arial" w:cs="Arial"/>
          <w:b/>
          <w:sz w:val="22"/>
          <w:u w:val="single"/>
        </w:rPr>
      </w:pPr>
      <w:r>
        <w:rPr>
          <w:rFonts w:ascii="Arial" w:eastAsia="Arial" w:hAnsi="Arial" w:cs="Arial"/>
          <w:b/>
          <w:sz w:val="22"/>
          <w:u w:val="single"/>
        </w:rPr>
        <w:t>Initial Stage Winding Up Petitions:</w:t>
      </w:r>
    </w:p>
    <w:p w14:paraId="6EE8CC7A"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Infolink</w:t>
      </w:r>
      <w:r>
        <w:rPr>
          <w:rFonts w:ascii="Arial" w:eastAsia="Arial" w:hAnsi="Arial" w:cs="Arial"/>
          <w:color w:val="FF0000"/>
          <w:sz w:val="22"/>
        </w:rPr>
        <w:t>Gazette</w:t>
      </w:r>
      <w:r>
        <w:rPr>
          <w:rFonts w:ascii="Arial" w:eastAsia="Arial" w:hAnsi="Arial" w:cs="Arial"/>
          <w:sz w:val="22"/>
        </w:rPr>
        <w:t xml:space="preserve"> published figures showing a huge increase in Initial Stage Winding Up petitions in 2023. Up by 87% to 6494 filings in 2023, compared to 3465 filings the previous year.</w:t>
      </w:r>
    </w:p>
    <w:p w14:paraId="73F956BC"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S. Kaler, Head of Data &amp; Operations at Infolink</w:t>
      </w:r>
      <w:r>
        <w:rPr>
          <w:rFonts w:ascii="Arial" w:eastAsia="Arial" w:hAnsi="Arial" w:cs="Arial"/>
          <w:color w:val="FF0000"/>
          <w:sz w:val="22"/>
        </w:rPr>
        <w:t>Gazette</w:t>
      </w:r>
      <w:r>
        <w:rPr>
          <w:rFonts w:ascii="Arial" w:eastAsia="Arial" w:hAnsi="Arial" w:cs="Arial"/>
          <w:sz w:val="22"/>
        </w:rPr>
        <w:t xml:space="preserve"> commented:</w:t>
      </w:r>
    </w:p>
    <w:p w14:paraId="3F815239" w14:textId="5F515D31" w:rsidR="00310CF5" w:rsidRDefault="00000000">
      <w:pPr>
        <w:spacing w:after="160" w:line="256" w:lineRule="auto"/>
        <w:ind w:left="0" w:right="0"/>
        <w:rPr>
          <w:rFonts w:ascii="Arial" w:eastAsia="Arial" w:hAnsi="Arial" w:cs="Arial"/>
          <w:sz w:val="22"/>
        </w:rPr>
      </w:pPr>
      <w:r>
        <w:rPr>
          <w:rFonts w:ascii="Arial" w:eastAsia="Arial" w:hAnsi="Arial" w:cs="Arial"/>
          <w:sz w:val="22"/>
        </w:rPr>
        <w:t>“The increase in Winding up Petitions continues to be driven by HMRC actioned filings. Numbers tripled from 982 petitions in 2022 compared to 2856 petitions brought by HMRC in 2023. Similarly, winding up Petitions not initiated by HMRC went up by 56% from 2483 in 2022 to 3638 in 2023.</w:t>
      </w:r>
      <w:r w:rsidR="005F0245">
        <w:rPr>
          <w:rFonts w:ascii="Arial" w:eastAsia="Arial" w:hAnsi="Arial" w:cs="Arial"/>
          <w:sz w:val="22"/>
        </w:rPr>
        <w:t xml:space="preserve"> The picture remains tough for many businesses.”</w:t>
      </w:r>
      <w:r>
        <w:rPr>
          <w:rFonts w:ascii="Arial" w:eastAsia="Arial" w:hAnsi="Arial" w:cs="Arial"/>
          <w:sz w:val="22"/>
        </w:rPr>
        <w:t xml:space="preserve">  </w:t>
      </w:r>
    </w:p>
    <w:p w14:paraId="5F3C2C26"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 xml:space="preserve"> </w:t>
      </w:r>
    </w:p>
    <w:p w14:paraId="227686AC" w14:textId="2885A8D3" w:rsidR="00310CF5" w:rsidRDefault="00000000">
      <w:pPr>
        <w:spacing w:after="160" w:line="256" w:lineRule="auto"/>
        <w:ind w:left="0" w:right="0"/>
        <w:rPr>
          <w:rFonts w:ascii="Arial" w:eastAsia="Arial" w:hAnsi="Arial" w:cs="Arial"/>
          <w:sz w:val="22"/>
        </w:rPr>
      </w:pPr>
      <w:r>
        <w:rPr>
          <w:rFonts w:ascii="Arial" w:eastAsia="Arial" w:hAnsi="Arial" w:cs="Arial"/>
          <w:sz w:val="22"/>
        </w:rPr>
        <w:t>Infolink</w:t>
      </w:r>
      <w:r>
        <w:rPr>
          <w:rFonts w:ascii="Arial" w:eastAsia="Arial" w:hAnsi="Arial" w:cs="Arial"/>
          <w:color w:val="FF0000"/>
          <w:sz w:val="22"/>
        </w:rPr>
        <w:t>Gazette</w:t>
      </w:r>
      <w:r>
        <w:rPr>
          <w:rFonts w:ascii="Arial" w:eastAsia="Arial" w:hAnsi="Arial" w:cs="Arial"/>
          <w:sz w:val="22"/>
        </w:rPr>
        <w:t xml:space="preserve"> collates this information and provides it to our clients as soon as it is available</w:t>
      </w:r>
      <w:r w:rsidR="005F0245">
        <w:rPr>
          <w:rFonts w:ascii="Arial" w:eastAsia="Arial" w:hAnsi="Arial" w:cs="Arial"/>
          <w:sz w:val="22"/>
        </w:rPr>
        <w:t>, helping our clients stay ahead of potential damage.</w:t>
      </w:r>
    </w:p>
    <w:p w14:paraId="3819384C"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 xml:space="preserve"> </w:t>
      </w:r>
    </w:p>
    <w:p w14:paraId="7A95B72F" w14:textId="2570868C" w:rsidR="00310CF5" w:rsidRPr="005F0245" w:rsidRDefault="00000000">
      <w:pPr>
        <w:spacing w:after="160" w:line="256" w:lineRule="auto"/>
        <w:ind w:left="0" w:right="0"/>
        <w:rPr>
          <w:rFonts w:ascii="Arial" w:eastAsia="Arial" w:hAnsi="Arial" w:cs="Arial"/>
          <w:sz w:val="22"/>
        </w:rPr>
      </w:pPr>
      <w:r>
        <w:rPr>
          <w:rFonts w:ascii="Arial" w:eastAsia="Arial" w:hAnsi="Arial" w:cs="Arial"/>
          <w:sz w:val="22"/>
        </w:rPr>
        <w:t>You can visit our website:</w:t>
      </w:r>
      <w:hyperlink r:id="rId9">
        <w:r>
          <w:rPr>
            <w:rFonts w:ascii="Arial" w:eastAsia="Arial" w:hAnsi="Arial" w:cs="Arial"/>
            <w:sz w:val="22"/>
          </w:rPr>
          <w:t xml:space="preserve"> </w:t>
        </w:r>
      </w:hyperlink>
      <w:hyperlink r:id="rId10">
        <w:r>
          <w:rPr>
            <w:rFonts w:ascii="Arial" w:eastAsia="Arial" w:hAnsi="Arial" w:cs="Arial"/>
            <w:color w:val="0563C1"/>
            <w:sz w:val="22"/>
            <w:u w:val="single"/>
          </w:rPr>
          <w:t>www.infolinkgazette.co.uk</w:t>
        </w:r>
      </w:hyperlink>
      <w:r>
        <w:rPr>
          <w:rFonts w:ascii="Arial" w:eastAsia="Arial" w:hAnsi="Arial" w:cs="Arial"/>
          <w:sz w:val="22"/>
        </w:rPr>
        <w:t xml:space="preserve"> for more information or</w:t>
      </w:r>
      <w:r w:rsidR="005F0245">
        <w:rPr>
          <w:rFonts w:ascii="Arial" w:eastAsia="Arial" w:hAnsi="Arial" w:cs="Arial"/>
          <w:sz w:val="22"/>
        </w:rPr>
        <w:t xml:space="preserve"> contact</w:t>
      </w:r>
      <w:r>
        <w:rPr>
          <w:rFonts w:ascii="Arial" w:eastAsia="Arial" w:hAnsi="Arial" w:cs="Arial"/>
          <w:sz w:val="22"/>
        </w:rPr>
        <w:t xml:space="preserve"> us at: </w:t>
      </w:r>
      <w:r>
        <w:rPr>
          <w:rFonts w:ascii="Arial" w:eastAsia="Arial" w:hAnsi="Arial" w:cs="Arial"/>
          <w:color w:val="0563C1"/>
          <w:sz w:val="22"/>
        </w:rPr>
        <w:t>sales@infolinkgazette.co.uk</w:t>
      </w:r>
    </w:p>
    <w:p w14:paraId="5CA17F9B" w14:textId="77777777" w:rsidR="00310CF5" w:rsidRDefault="00000000">
      <w:pPr>
        <w:spacing w:after="160" w:line="256" w:lineRule="auto"/>
        <w:ind w:left="0" w:right="0"/>
        <w:rPr>
          <w:rFonts w:ascii="Arial" w:eastAsia="Arial" w:hAnsi="Arial" w:cs="Arial"/>
          <w:sz w:val="22"/>
        </w:rPr>
      </w:pPr>
      <w:r>
        <w:rPr>
          <w:rFonts w:ascii="Arial" w:eastAsia="Arial" w:hAnsi="Arial" w:cs="Arial"/>
          <w:sz w:val="22"/>
        </w:rPr>
        <w:t xml:space="preserve"> </w:t>
      </w:r>
    </w:p>
    <w:p w14:paraId="405DA5DC" w14:textId="77777777" w:rsidR="005F0245" w:rsidRPr="005F0245" w:rsidRDefault="005F0245" w:rsidP="005F0245">
      <w:pPr>
        <w:spacing w:line="240" w:lineRule="auto"/>
        <w:ind w:left="0"/>
        <w:rPr>
          <w:rFonts w:ascii="Times New Roman" w:eastAsia="Times New Roman" w:hAnsi="Times New Roman" w:cs="Times New Roman"/>
          <w:color w:val="auto"/>
          <w:sz w:val="24"/>
          <w:szCs w:val="24"/>
        </w:rPr>
      </w:pPr>
      <w:r w:rsidRPr="005F0245">
        <w:rPr>
          <w:rFonts w:ascii="Manrope" w:eastAsia="Times New Roman" w:hAnsi="Manrope" w:cs="Times New Roman"/>
          <w:szCs w:val="20"/>
        </w:rPr>
        <w:t>Rebecca Halifax</w:t>
      </w:r>
    </w:p>
    <w:p w14:paraId="63B0D1E5" w14:textId="77777777" w:rsidR="005F0245" w:rsidRPr="005F0245" w:rsidRDefault="005F0245" w:rsidP="005F0245">
      <w:pPr>
        <w:spacing w:line="240" w:lineRule="auto"/>
        <w:ind w:left="142" w:hanging="142"/>
        <w:rPr>
          <w:rFonts w:ascii="Times New Roman" w:eastAsia="Times New Roman" w:hAnsi="Times New Roman" w:cs="Times New Roman"/>
          <w:color w:val="auto"/>
          <w:sz w:val="24"/>
          <w:szCs w:val="24"/>
        </w:rPr>
      </w:pPr>
      <w:r w:rsidRPr="005F0245">
        <w:rPr>
          <w:rFonts w:ascii="Manrope" w:eastAsia="Times New Roman" w:hAnsi="Manrope" w:cs="Times New Roman"/>
          <w:i/>
          <w:iCs/>
          <w:szCs w:val="20"/>
        </w:rPr>
        <w:t>Commercial &amp; Operations Director</w:t>
      </w:r>
    </w:p>
    <w:p w14:paraId="11712A64" w14:textId="77777777" w:rsidR="005F0245" w:rsidRPr="005F0245" w:rsidRDefault="005F0245" w:rsidP="005F0245">
      <w:pPr>
        <w:spacing w:line="240" w:lineRule="auto"/>
        <w:ind w:left="142" w:hanging="142"/>
        <w:rPr>
          <w:rFonts w:ascii="Times New Roman" w:eastAsia="Times New Roman" w:hAnsi="Times New Roman" w:cs="Times New Roman"/>
          <w:color w:val="auto"/>
          <w:sz w:val="24"/>
          <w:szCs w:val="24"/>
        </w:rPr>
      </w:pPr>
      <w:r w:rsidRPr="005F0245">
        <w:rPr>
          <w:rFonts w:ascii="Manrope" w:eastAsia="Times New Roman" w:hAnsi="Manrope" w:cs="Times New Roman"/>
          <w:i/>
          <w:iCs/>
          <w:szCs w:val="20"/>
        </w:rPr>
        <w:t>M:</w:t>
      </w:r>
      <w:r w:rsidRPr="005F0245">
        <w:rPr>
          <w:rFonts w:ascii="Manrope" w:eastAsia="Times New Roman" w:hAnsi="Manrope" w:cs="Times New Roman"/>
          <w:szCs w:val="20"/>
        </w:rPr>
        <w:t xml:space="preserve"> 07939 088 082</w:t>
      </w:r>
    </w:p>
    <w:p w14:paraId="3D73FCE5" w14:textId="6467F7D0" w:rsidR="005F0245" w:rsidRPr="005F0245" w:rsidRDefault="005F0245" w:rsidP="005F0245">
      <w:pPr>
        <w:spacing w:line="240" w:lineRule="auto"/>
        <w:ind w:left="142" w:hanging="142"/>
        <w:rPr>
          <w:rFonts w:ascii="Times New Roman" w:eastAsia="Times New Roman" w:hAnsi="Times New Roman" w:cs="Times New Roman"/>
          <w:color w:val="auto"/>
          <w:sz w:val="24"/>
          <w:szCs w:val="24"/>
        </w:rPr>
      </w:pPr>
      <w:r w:rsidRPr="005F0245">
        <w:rPr>
          <w:rFonts w:ascii="Manrope" w:eastAsia="Times New Roman" w:hAnsi="Manrope" w:cs="Times New Roman"/>
          <w:i/>
          <w:iCs/>
          <w:szCs w:val="20"/>
        </w:rPr>
        <w:t>E:</w:t>
      </w:r>
      <w:r w:rsidRPr="005F0245">
        <w:rPr>
          <w:rFonts w:ascii="Manrope" w:eastAsia="Times New Roman" w:hAnsi="Manrope" w:cs="Times New Roman"/>
          <w:szCs w:val="20"/>
        </w:rPr>
        <w:t xml:space="preserve"> rebecca@techcitylabs.com</w:t>
      </w:r>
    </w:p>
    <w:p w14:paraId="25B9AA5F" w14:textId="77777777" w:rsidR="005F0245" w:rsidRPr="005F0245" w:rsidRDefault="005F0245" w:rsidP="005F0245">
      <w:pPr>
        <w:spacing w:line="240" w:lineRule="auto"/>
        <w:ind w:left="0" w:right="0"/>
        <w:rPr>
          <w:rFonts w:ascii="Times New Roman" w:eastAsia="Times New Roman" w:hAnsi="Times New Roman" w:cs="Times New Roman"/>
          <w:color w:val="auto"/>
          <w:sz w:val="24"/>
          <w:szCs w:val="24"/>
        </w:rPr>
      </w:pPr>
    </w:p>
    <w:p w14:paraId="689360C8" w14:textId="77777777" w:rsidR="005F0245" w:rsidRDefault="005F0245">
      <w:pPr>
        <w:spacing w:after="160" w:line="256" w:lineRule="auto"/>
        <w:ind w:left="0" w:right="0"/>
        <w:rPr>
          <w:rFonts w:ascii="Arial" w:eastAsia="Arial" w:hAnsi="Arial" w:cs="Arial"/>
          <w:sz w:val="22"/>
        </w:rPr>
      </w:pPr>
    </w:p>
    <w:p w14:paraId="0C47955B" w14:textId="77777777" w:rsidR="00310CF5" w:rsidRDefault="00310CF5">
      <w:pPr>
        <w:spacing w:line="276" w:lineRule="auto"/>
        <w:ind w:firstLine="142"/>
        <w:rPr>
          <w:rFonts w:ascii="Roboto" w:eastAsia="Roboto" w:hAnsi="Roboto" w:cs="Roboto"/>
          <w:color w:val="70757A"/>
          <w:sz w:val="18"/>
          <w:szCs w:val="18"/>
          <w:highlight w:val="white"/>
        </w:rPr>
      </w:pPr>
    </w:p>
    <w:sectPr w:rsidR="00310CF5">
      <w:headerReference w:type="default" r:id="rId11"/>
      <w:footerReference w:type="default" r:id="rId12"/>
      <w:pgSz w:w="11906" w:h="16838"/>
      <w:pgMar w:top="1916" w:right="1440" w:bottom="1440" w:left="1440"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6F5C" w14:textId="77777777" w:rsidR="00616B23" w:rsidRDefault="00616B23">
      <w:pPr>
        <w:spacing w:line="240" w:lineRule="auto"/>
      </w:pPr>
      <w:r>
        <w:separator/>
      </w:r>
    </w:p>
  </w:endnote>
  <w:endnote w:type="continuationSeparator" w:id="0">
    <w:p w14:paraId="23364565" w14:textId="77777777" w:rsidR="00616B23" w:rsidRDefault="00616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rope Light">
    <w:altName w:val="Calibri"/>
    <w:panose1 w:val="020B0604020202020204"/>
    <w:charset w:val="00"/>
    <w:family w:val="auto"/>
    <w:pitch w:val="default"/>
  </w:font>
  <w:font w:name="Manrope bold">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rope">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C6EE" w14:textId="77777777" w:rsidR="00310CF5" w:rsidRDefault="00616B23">
    <w:pPr>
      <w:pBdr>
        <w:top w:val="nil"/>
        <w:left w:val="nil"/>
        <w:bottom w:val="nil"/>
        <w:right w:val="nil"/>
        <w:between w:val="nil"/>
      </w:pBdr>
      <w:tabs>
        <w:tab w:val="center" w:pos="4513"/>
        <w:tab w:val="right" w:pos="9026"/>
      </w:tabs>
      <w:spacing w:line="240" w:lineRule="auto"/>
      <w:ind w:left="142" w:firstLine="283"/>
      <w:jc w:val="right"/>
      <w:rPr>
        <w:sz w:val="16"/>
        <w:szCs w:val="16"/>
      </w:rPr>
    </w:pPr>
    <w:r>
      <w:rPr>
        <w:noProof/>
      </w:rPr>
      <w:pict w14:anchorId="3A572C9D">
        <v:rect id="_x0000_i1025" alt="" style="width:446.35pt;height:.05pt;mso-width-percent:0;mso-height-percent:0;mso-width-percent:0;mso-height-percent:0" o:hrpct="989" o:hralign="center" o:hrstd="t" o:hr="t" fillcolor="#a0a0a0" stroked="f"/>
      </w:pict>
    </w:r>
  </w:p>
  <w:p w14:paraId="3974651D" w14:textId="77777777" w:rsidR="00310CF5" w:rsidRDefault="00310CF5">
    <w:pPr>
      <w:pBdr>
        <w:top w:val="nil"/>
        <w:left w:val="nil"/>
        <w:bottom w:val="nil"/>
        <w:right w:val="nil"/>
        <w:between w:val="nil"/>
      </w:pBdr>
      <w:tabs>
        <w:tab w:val="center" w:pos="4513"/>
        <w:tab w:val="right" w:pos="9026"/>
      </w:tabs>
      <w:spacing w:line="240" w:lineRule="auto"/>
      <w:ind w:left="142" w:firstLine="283"/>
      <w:jc w:val="right"/>
      <w:rPr>
        <w:sz w:val="16"/>
        <w:szCs w:val="16"/>
      </w:rPr>
    </w:pPr>
  </w:p>
  <w:p w14:paraId="4157DC68" w14:textId="77777777" w:rsidR="00310CF5" w:rsidRDefault="00000000">
    <w:pPr>
      <w:pBdr>
        <w:top w:val="nil"/>
        <w:left w:val="nil"/>
        <w:bottom w:val="nil"/>
        <w:right w:val="nil"/>
        <w:between w:val="nil"/>
      </w:pBdr>
      <w:tabs>
        <w:tab w:val="center" w:pos="4513"/>
        <w:tab w:val="right" w:pos="9026"/>
      </w:tabs>
      <w:spacing w:line="240" w:lineRule="auto"/>
      <w:ind w:left="142" w:firstLine="283"/>
      <w:jc w:val="right"/>
      <w:rPr>
        <w:sz w:val="16"/>
        <w:szCs w:val="16"/>
      </w:rPr>
    </w:pPr>
    <w:r>
      <w:rPr>
        <w:sz w:val="16"/>
        <w:szCs w:val="16"/>
      </w:rPr>
      <w:t>Registered address: TOR Building, Saint-Cloud Way, Maidenhead, SL6 8BN</w:t>
    </w:r>
  </w:p>
  <w:p w14:paraId="62AF5793" w14:textId="77777777" w:rsidR="00310CF5" w:rsidRDefault="00310CF5">
    <w:pPr>
      <w:pBdr>
        <w:top w:val="nil"/>
        <w:left w:val="nil"/>
        <w:bottom w:val="nil"/>
        <w:right w:val="nil"/>
        <w:between w:val="nil"/>
      </w:pBdr>
      <w:tabs>
        <w:tab w:val="center" w:pos="4513"/>
        <w:tab w:val="right" w:pos="9026"/>
        <w:tab w:val="right" w:pos="9071"/>
      </w:tabs>
      <w:spacing w:line="240" w:lineRule="auto"/>
      <w:jc w:val="right"/>
      <w:rPr>
        <w:sz w:val="16"/>
        <w:szCs w:val="16"/>
      </w:rPr>
    </w:pPr>
  </w:p>
  <w:p w14:paraId="7BBF7B6A" w14:textId="77777777" w:rsidR="00310CF5" w:rsidRDefault="00000000">
    <w:pPr>
      <w:pBdr>
        <w:top w:val="nil"/>
        <w:left w:val="nil"/>
        <w:bottom w:val="nil"/>
        <w:right w:val="nil"/>
        <w:between w:val="nil"/>
      </w:pBdr>
      <w:tabs>
        <w:tab w:val="center" w:pos="4513"/>
        <w:tab w:val="right" w:pos="9026"/>
        <w:tab w:val="right" w:pos="9071"/>
      </w:tabs>
      <w:spacing w:line="240" w:lineRule="auto"/>
      <w:jc w:val="right"/>
      <w:rPr>
        <w:sz w:val="16"/>
        <w:szCs w:val="16"/>
      </w:rPr>
    </w:pPr>
    <w:r>
      <w:rPr>
        <w:sz w:val="16"/>
        <w:szCs w:val="16"/>
      </w:rPr>
      <w:t>Company number: 06331494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C7C2" w14:textId="77777777" w:rsidR="00616B23" w:rsidRDefault="00616B23">
      <w:pPr>
        <w:spacing w:line="240" w:lineRule="auto"/>
      </w:pPr>
      <w:r>
        <w:separator/>
      </w:r>
    </w:p>
  </w:footnote>
  <w:footnote w:type="continuationSeparator" w:id="0">
    <w:p w14:paraId="53B1628D" w14:textId="77777777" w:rsidR="00616B23" w:rsidRDefault="00616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BDEB" w14:textId="77777777" w:rsidR="00310CF5" w:rsidRDefault="00000000">
    <w:pPr>
      <w:pBdr>
        <w:top w:val="nil"/>
        <w:left w:val="nil"/>
        <w:bottom w:val="nil"/>
        <w:right w:val="nil"/>
        <w:between w:val="nil"/>
      </w:pBdr>
      <w:tabs>
        <w:tab w:val="center" w:pos="4513"/>
        <w:tab w:val="right" w:pos="9026"/>
      </w:tabs>
      <w:spacing w:line="240" w:lineRule="auto"/>
      <w:rPr>
        <w:szCs w:val="20"/>
      </w:rPr>
    </w:pPr>
    <w:r>
      <w:rPr>
        <w:noProof/>
        <w:szCs w:val="20"/>
      </w:rPr>
      <w:drawing>
        <wp:inline distT="0" distB="0" distL="0" distR="0" wp14:anchorId="04D08688" wp14:editId="4EC5B804">
          <wp:extent cx="1460500" cy="609600"/>
          <wp:effectExtent l="0" t="0" r="0" b="0"/>
          <wp:docPr id="1345765790" name="image3.png" descr="A blue letter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letters on a black background&#10;&#10;Description automatically generated"/>
                  <pic:cNvPicPr preferRelativeResize="0"/>
                </pic:nvPicPr>
                <pic:blipFill>
                  <a:blip r:embed="rId1"/>
                  <a:srcRect/>
                  <a:stretch>
                    <a:fillRect/>
                  </a:stretch>
                </pic:blipFill>
                <pic:spPr>
                  <a:xfrm>
                    <a:off x="0" y="0"/>
                    <a:ext cx="1460500" cy="609600"/>
                  </a:xfrm>
                  <a:prstGeom prst="rect">
                    <a:avLst/>
                  </a:prstGeom>
                  <a:ln/>
                </pic:spPr>
              </pic:pic>
            </a:graphicData>
          </a:graphic>
        </wp:inline>
      </w:drawing>
    </w:r>
    <w:r>
      <w:rPr>
        <w:szCs w:val="20"/>
      </w:rPr>
      <w:tab/>
    </w:r>
    <w:r>
      <w:rPr>
        <w:szCs w:val="20"/>
      </w:rPr>
      <w:tab/>
    </w:r>
    <w:r>
      <w:rPr>
        <w:noProof/>
      </w:rPr>
      <w:drawing>
        <wp:inline distT="0" distB="0" distL="0" distR="0" wp14:anchorId="12315C87" wp14:editId="0AB7702D">
          <wp:extent cx="622300" cy="609600"/>
          <wp:effectExtent l="0" t="0" r="0" b="0"/>
          <wp:docPr id="1345765789" name="image2.png" descr="A white circles and a yellow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white circles and a yellow square&#10;&#10;Description automatically generated"/>
                  <pic:cNvPicPr preferRelativeResize="0"/>
                </pic:nvPicPr>
                <pic:blipFill>
                  <a:blip r:embed="rId2"/>
                  <a:srcRect/>
                  <a:stretch>
                    <a:fillRect/>
                  </a:stretch>
                </pic:blipFill>
                <pic:spPr>
                  <a:xfrm>
                    <a:off x="0" y="0"/>
                    <a:ext cx="622300" cy="609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F5"/>
    <w:rsid w:val="00310CF5"/>
    <w:rsid w:val="005F0245"/>
    <w:rsid w:val="00616B23"/>
    <w:rsid w:val="0074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D9EC"/>
  <w15:docId w15:val="{265CA67B-7482-904E-962C-44D71EAC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nrope Light" w:eastAsia="Manrope Light" w:hAnsi="Manrope Light" w:cs="Manrope Light"/>
        <w:color w:val="161635"/>
        <w:lang w:val="en-GB" w:eastAsia="en-GB" w:bidi="ar-SA"/>
      </w:rPr>
    </w:rPrDefault>
    <w:pPrDefault>
      <w:pPr>
        <w:spacing w:line="336" w:lineRule="auto"/>
        <w:ind w:left="425" w:right="-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CE"/>
    <w:rPr>
      <w:szCs w:val="22"/>
    </w:rPr>
  </w:style>
  <w:style w:type="paragraph" w:styleId="Heading1">
    <w:name w:val="heading 1"/>
    <w:basedOn w:val="Normal"/>
    <w:next w:val="Normal"/>
    <w:link w:val="Heading1Char"/>
    <w:uiPriority w:val="9"/>
    <w:qFormat/>
    <w:rsid w:val="00D03BCE"/>
    <w:pPr>
      <w:spacing w:after="120"/>
      <w:outlineLvl w:val="0"/>
    </w:pPr>
    <w:rPr>
      <w:rFonts w:ascii="Manrope bold" w:hAnsi="Manrope bold"/>
      <w:color w:val="42D7AF"/>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03BCE"/>
    <w:rPr>
      <w:color w:val="0563C1" w:themeColor="hyperlink"/>
      <w:u w:val="single"/>
    </w:rPr>
  </w:style>
  <w:style w:type="paragraph" w:styleId="Header">
    <w:name w:val="header"/>
    <w:basedOn w:val="Normal"/>
    <w:link w:val="HeaderChar"/>
    <w:uiPriority w:val="99"/>
    <w:unhideWhenUsed/>
    <w:rsid w:val="00D03BCE"/>
    <w:pPr>
      <w:tabs>
        <w:tab w:val="center" w:pos="4513"/>
        <w:tab w:val="right" w:pos="9026"/>
      </w:tabs>
      <w:spacing w:line="240" w:lineRule="auto"/>
    </w:pPr>
  </w:style>
  <w:style w:type="character" w:customStyle="1" w:styleId="HeaderChar">
    <w:name w:val="Header Char"/>
    <w:basedOn w:val="DefaultParagraphFont"/>
    <w:link w:val="Header"/>
    <w:uiPriority w:val="99"/>
    <w:rsid w:val="00D03BCE"/>
    <w:rPr>
      <w:rFonts w:ascii="Manrope Light" w:hAnsi="Manrope Light"/>
      <w:color w:val="161635"/>
      <w:kern w:val="0"/>
      <w:sz w:val="20"/>
      <w:szCs w:val="22"/>
    </w:rPr>
  </w:style>
  <w:style w:type="paragraph" w:styleId="Footer">
    <w:name w:val="footer"/>
    <w:basedOn w:val="Normal"/>
    <w:link w:val="FooterChar"/>
    <w:uiPriority w:val="99"/>
    <w:unhideWhenUsed/>
    <w:rsid w:val="00D03BCE"/>
    <w:pPr>
      <w:tabs>
        <w:tab w:val="center" w:pos="4513"/>
        <w:tab w:val="right" w:pos="9026"/>
      </w:tabs>
      <w:spacing w:line="240" w:lineRule="auto"/>
    </w:pPr>
  </w:style>
  <w:style w:type="character" w:customStyle="1" w:styleId="FooterChar">
    <w:name w:val="Footer Char"/>
    <w:basedOn w:val="DefaultParagraphFont"/>
    <w:link w:val="Footer"/>
    <w:uiPriority w:val="99"/>
    <w:rsid w:val="00D03BCE"/>
    <w:rPr>
      <w:rFonts w:ascii="Manrope Light" w:hAnsi="Manrope Light"/>
      <w:color w:val="161635"/>
      <w:kern w:val="0"/>
      <w:sz w:val="20"/>
      <w:szCs w:val="22"/>
    </w:rPr>
  </w:style>
  <w:style w:type="paragraph" w:styleId="NoSpacing">
    <w:name w:val="No Spacing"/>
    <w:link w:val="NoSpacingChar"/>
    <w:uiPriority w:val="1"/>
    <w:qFormat/>
    <w:rsid w:val="00D03BCE"/>
    <w:rPr>
      <w:szCs w:val="22"/>
    </w:rPr>
  </w:style>
  <w:style w:type="character" w:customStyle="1" w:styleId="NoSpacingChar">
    <w:name w:val="No Spacing Char"/>
    <w:link w:val="NoSpacing"/>
    <w:uiPriority w:val="1"/>
    <w:rsid w:val="00D03BCE"/>
    <w:rPr>
      <w:rFonts w:ascii="Manrope Light" w:hAnsi="Manrope Light"/>
      <w:color w:val="161635"/>
      <w:kern w:val="0"/>
      <w:sz w:val="20"/>
      <w:szCs w:val="22"/>
    </w:rPr>
  </w:style>
  <w:style w:type="character" w:customStyle="1" w:styleId="Heading1Char">
    <w:name w:val="Heading 1 Char"/>
    <w:basedOn w:val="DefaultParagraphFont"/>
    <w:link w:val="Heading1"/>
    <w:uiPriority w:val="9"/>
    <w:rsid w:val="00D03BCE"/>
    <w:rPr>
      <w:rFonts w:ascii="Manrope bold" w:hAnsi="Manrope bold"/>
      <w:color w:val="42D7AF"/>
      <w:kern w:val="0"/>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F0245"/>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4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mV09sCaFee8jutJSBaaPZVBbg==">CgMxLjA4AHIhMXIwZXlZTFpacU9EV04wS2t4NFdlOHA2SWtacDNyOFBx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Halifax</dc:creator>
  <cp:lastModifiedBy>Rebecca Halifax</cp:lastModifiedBy>
  <cp:revision>3</cp:revision>
  <dcterms:created xsi:type="dcterms:W3CDTF">2024-02-02T15:02:00Z</dcterms:created>
  <dcterms:modified xsi:type="dcterms:W3CDTF">2024-02-02T15:02:00Z</dcterms:modified>
</cp:coreProperties>
</file>